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2CD561" w14:textId="77777777" w:rsidR="00624155" w:rsidRPr="0074043A" w:rsidRDefault="00CA6A06">
      <w:pPr>
        <w:rPr>
          <w:b/>
          <w:bCs/>
          <w:sz w:val="24"/>
          <w:szCs w:val="24"/>
          <w:lang w:val="pl-PL"/>
        </w:rPr>
      </w:pPr>
      <w:r w:rsidRPr="0074043A">
        <w:rPr>
          <w:b/>
          <w:bCs/>
          <w:sz w:val="24"/>
          <w:szCs w:val="24"/>
          <w:lang w:val="pl-PL"/>
        </w:rPr>
        <w:t>Badanie: co się może wydarzyć, gdy opiszesz historię swojego byłego związku?</w:t>
      </w:r>
    </w:p>
    <w:p w14:paraId="7002D4A2" w14:textId="77777777" w:rsidR="00624155" w:rsidRPr="0074043A" w:rsidRDefault="00624155">
      <w:pPr>
        <w:rPr>
          <w:b/>
          <w:bCs/>
          <w:sz w:val="20"/>
          <w:szCs w:val="20"/>
          <w:lang w:val="pl-PL"/>
        </w:rPr>
      </w:pPr>
    </w:p>
    <w:p w14:paraId="37A4485B" w14:textId="77777777" w:rsidR="00624155" w:rsidRPr="0074043A" w:rsidRDefault="00CA6A06">
      <w:pPr>
        <w:spacing w:before="240" w:after="240"/>
        <w:rPr>
          <w:rFonts w:ascii="Arial" w:eastAsia="Arial" w:hAnsi="Arial" w:cs="Arial"/>
          <w:b/>
          <w:bCs/>
          <w:lang w:val="pl-PL"/>
        </w:rPr>
      </w:pPr>
      <w:r w:rsidRPr="0074043A">
        <w:rPr>
          <w:rFonts w:ascii="Arial" w:eastAsia="Arial" w:hAnsi="Arial" w:cs="Arial"/>
          <w:b/>
          <w:bCs/>
          <w:lang w:val="pl-PL"/>
        </w:rPr>
        <w:t>Rozstanie z ukochaną osobą to często bolesne życiowe doświadczenie, po którym trudno wrócić do równowagi. Naukowcy z Uniwersytetu SWPS wskazują jednak, że może w tym pomóc pewne proste działanie. Opisanie historii zakończonego związku podnosi skuteczność m</w:t>
      </w:r>
      <w:r w:rsidRPr="0074043A">
        <w:rPr>
          <w:rFonts w:ascii="Arial" w:eastAsia="Arial" w:hAnsi="Arial" w:cs="Arial"/>
          <w:b/>
          <w:bCs/>
          <w:lang w:val="pl-PL"/>
        </w:rPr>
        <w:t>yślenia o przeszłości i przyszłości w bliskich związkach. Wiąże się także z lepszym zrozumieniem przyczyn rozpadu relacji – piszą na łamach prestiżowego czasopisma „PLOS One”.</w:t>
      </w:r>
    </w:p>
    <w:p w14:paraId="3478AE7D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 xml:space="preserve">Kiedy spotyka nas coś trudnego, naturalną reakcją jest potrzeba podzielenia się </w:t>
      </w:r>
      <w:r w:rsidRPr="0074043A">
        <w:rPr>
          <w:sz w:val="20"/>
          <w:szCs w:val="20"/>
          <w:lang w:val="pl-PL"/>
        </w:rPr>
        <w:t>tym z innymi</w:t>
      </w:r>
      <w:r w:rsidRPr="0074043A">
        <w:rPr>
          <w:sz w:val="20"/>
          <w:szCs w:val="20"/>
          <w:vertAlign w:val="superscript"/>
          <w:lang w:val="pl-PL"/>
        </w:rPr>
        <w:footnoteReference w:id="1"/>
      </w:r>
      <w:r w:rsidRPr="0074043A">
        <w:rPr>
          <w:sz w:val="20"/>
          <w:szCs w:val="20"/>
          <w:lang w:val="pl-PL"/>
        </w:rPr>
        <w:t>. Najczęściej robimy to, opowiadając historie i wyjaśniając wszelkie zawiłości zdarzenia. Badania naukowe dowodzą, że te opowieści nie służą nam wyłącznie do komunikacji czy budowania relacji społecznych</w:t>
      </w:r>
      <w:r w:rsidRPr="0074043A">
        <w:rPr>
          <w:sz w:val="20"/>
          <w:szCs w:val="20"/>
          <w:vertAlign w:val="superscript"/>
          <w:lang w:val="pl-PL"/>
        </w:rPr>
        <w:footnoteReference w:id="2"/>
      </w:r>
      <w:r w:rsidRPr="0074043A">
        <w:rPr>
          <w:sz w:val="20"/>
          <w:szCs w:val="20"/>
          <w:lang w:val="pl-PL"/>
        </w:rPr>
        <w:t xml:space="preserve">. Od strony psychologicznej można je </w:t>
      </w:r>
      <w:r w:rsidRPr="0074043A">
        <w:rPr>
          <w:sz w:val="20"/>
          <w:szCs w:val="20"/>
          <w:lang w:val="pl-PL"/>
        </w:rPr>
        <w:t>też rozumieć jako poznawczy sposób nadawania sensu naszym doświadczeniom. Dzięki niemu zamiast mierzyć się z niezrozumiałymi emocjami i chaosem zdarzeń, potrafimy zobaczyć je jako spójną i zrozumiałą opowieść</w:t>
      </w:r>
      <w:r w:rsidRPr="0074043A">
        <w:rPr>
          <w:sz w:val="20"/>
          <w:szCs w:val="20"/>
          <w:vertAlign w:val="superscript"/>
          <w:lang w:val="pl-PL"/>
        </w:rPr>
        <w:footnoteReference w:id="3"/>
      </w:r>
      <w:r w:rsidRPr="0074043A">
        <w:rPr>
          <w:sz w:val="20"/>
          <w:szCs w:val="20"/>
          <w:lang w:val="pl-PL"/>
        </w:rPr>
        <w:t xml:space="preserve">.  </w:t>
      </w:r>
    </w:p>
    <w:p w14:paraId="14CACCAD" w14:textId="77777777" w:rsidR="00624155" w:rsidRPr="0074043A" w:rsidRDefault="00CA6A06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4043A">
        <w:rPr>
          <w:b/>
          <w:bCs/>
          <w:sz w:val="20"/>
          <w:szCs w:val="20"/>
          <w:lang w:val="pl-PL"/>
        </w:rPr>
        <w:t>Jak naukowo zbadać osobiste historie?</w:t>
      </w:r>
    </w:p>
    <w:p w14:paraId="431AC577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Bada</w:t>
      </w:r>
      <w:r w:rsidRPr="0074043A">
        <w:rPr>
          <w:sz w:val="20"/>
          <w:szCs w:val="20"/>
          <w:lang w:val="pl-PL"/>
        </w:rPr>
        <w:t>nie przeprowadzone przez psycholożkę Jolantę Czarnecką z Wydziału Psychologii w Warszawie i psychologa prof. dr. hab. Jerzego Trzebińskiego z Instytutu Psychologii USWPS objęło w głównych analizach 422 kobiety w wieku od 18 do 30 lat. Osoby w tym okresie r</w:t>
      </w:r>
      <w:r w:rsidRPr="0074043A">
        <w:rPr>
          <w:sz w:val="20"/>
          <w:szCs w:val="20"/>
          <w:lang w:val="pl-PL"/>
        </w:rPr>
        <w:t xml:space="preserve">ozwojowym mierzą się z licznymi zadaniami, do których należą kształtowanie swojej tożsamości i nauka tworzenia stabilnych bliskich związków. Wszystkie uczestniczki miały za sobą rozpad nieformalnego związku w </w:t>
      </w:r>
      <w:r w:rsidRPr="0074043A">
        <w:rPr>
          <w:sz w:val="20"/>
          <w:szCs w:val="20"/>
          <w:lang w:val="pl-PL"/>
        </w:rPr>
        <w:lastRenderedPageBreak/>
        <w:t>ciągu ostatnich trzech lat i od tamtej pory poz</w:t>
      </w:r>
      <w:r w:rsidRPr="0074043A">
        <w:rPr>
          <w:sz w:val="20"/>
          <w:szCs w:val="20"/>
          <w:lang w:val="pl-PL"/>
        </w:rPr>
        <w:t xml:space="preserve">ostawały singielkami. Psycholodzy postanowili sprawdzić, w jaki sposób wzbudzenie myślenia o historii byłego związku wpłynie na dalsze funkcjonowanie kobiet. </w:t>
      </w:r>
    </w:p>
    <w:p w14:paraId="75163E0B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– Głównym celem naszych badań było sprawdzenie, jak wpływa na nas myślenie narracyjne o zakończon</w:t>
      </w:r>
      <w:r w:rsidRPr="0074043A">
        <w:rPr>
          <w:sz w:val="20"/>
          <w:szCs w:val="20"/>
          <w:lang w:val="pl-PL"/>
        </w:rPr>
        <w:t>ym związku. Oczekiwaliśmy, że jego wzbudzenie doprowadzi do bardziej efektywnego myślenia o przeszłych doświadczeniach i sprawi, że myślenie o przyszłości będzie częstsze – tłumaczy Jolanta Czarnecka z Uniwersytetu SWPS.</w:t>
      </w:r>
    </w:p>
    <w:p w14:paraId="715727B3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Uczestniczki eksperymentu podzielon</w:t>
      </w:r>
      <w:r w:rsidRPr="0074043A">
        <w:rPr>
          <w:sz w:val="20"/>
          <w:szCs w:val="20"/>
          <w:lang w:val="pl-PL"/>
        </w:rPr>
        <w:t>o losowo na dwie grupy. Pierwsza z nich miała za zadanie spisać historię swojego zakończonego związku – tak jak ją widzą i rozumieją. Z kolei druga grupa odpowiadała na pytania dotyczące faktów i ocen związanych z byłą relacją, jednakże bez układania ich w</w:t>
      </w:r>
      <w:r w:rsidRPr="0074043A">
        <w:rPr>
          <w:sz w:val="20"/>
          <w:szCs w:val="20"/>
          <w:lang w:val="pl-PL"/>
        </w:rPr>
        <w:t xml:space="preserve"> spójną opowieść.  </w:t>
      </w:r>
    </w:p>
    <w:p w14:paraId="379AFA09" w14:textId="77777777" w:rsidR="00624155" w:rsidRPr="0074043A" w:rsidRDefault="00CA6A06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4043A">
        <w:rPr>
          <w:b/>
          <w:bCs/>
          <w:sz w:val="20"/>
          <w:szCs w:val="20"/>
          <w:lang w:val="pl-PL"/>
        </w:rPr>
        <w:t xml:space="preserve">Czasem ciężko jest opowiedzieć swoją historię… </w:t>
      </w:r>
    </w:p>
    <w:p w14:paraId="4F76F66C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Analiza odpowiedzi kobiet, które zostały zaproszone do podzielenia się osobistą historią, pokazała, że około 37 proc. z nich nie zrealizowało tego zadania. Przykładowo, zamiast spójnej opo</w:t>
      </w:r>
      <w:r w:rsidRPr="0074043A">
        <w:rPr>
          <w:sz w:val="20"/>
          <w:szCs w:val="20"/>
          <w:lang w:val="pl-PL"/>
        </w:rPr>
        <w:t xml:space="preserve">wieści uczestniczki przedstawiały jedynie zbiór luźnych opinii i argumentów, skupiały się wyłącznie na wybranych fragmentach relacji bądź tworzyły suchy, chronologiczny rejestr wydarzeń. </w:t>
      </w:r>
    </w:p>
    <w:p w14:paraId="21D86E32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– W naszym badaniu każda z osób miała wolność w sposobie dzielenia s</w:t>
      </w:r>
      <w:r w:rsidRPr="0074043A">
        <w:rPr>
          <w:sz w:val="20"/>
          <w:szCs w:val="20"/>
          <w:lang w:val="pl-PL"/>
        </w:rPr>
        <w:t>ię swoją osobistą historią. Część uczestniczek mogła nie chcieć tego zrobić. Inne – mimo próby – mogły doświadczyć trudności z utworzeniem narracji. Ta obserwacja okazała się jednak dla nas niezwykle cenna. Pozwoliła nam zobaczyć, czy osoby opisujące histo</w:t>
      </w:r>
      <w:r w:rsidRPr="0074043A">
        <w:rPr>
          <w:sz w:val="20"/>
          <w:szCs w:val="20"/>
          <w:lang w:val="pl-PL"/>
        </w:rPr>
        <w:t xml:space="preserve">rie różnią się od tych, które tego nie zrobiły. Wykryliśmy, że znacząco lepiej funkcjonują te, które podzieliły się swoją narracją – komentuje Jolanta Czarnecka. </w:t>
      </w:r>
    </w:p>
    <w:p w14:paraId="0708294B" w14:textId="77777777" w:rsidR="00624155" w:rsidRPr="0074043A" w:rsidRDefault="00CA6A06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4043A">
        <w:rPr>
          <w:b/>
          <w:bCs/>
          <w:sz w:val="20"/>
          <w:szCs w:val="20"/>
          <w:lang w:val="pl-PL"/>
        </w:rPr>
        <w:t xml:space="preserve">Tworzenie historii poprawia myślenie o przeszłości i przyszłości </w:t>
      </w:r>
    </w:p>
    <w:p w14:paraId="5F24CD67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Po siedmiu dniach badacze z</w:t>
      </w:r>
      <w:r w:rsidRPr="0074043A">
        <w:rPr>
          <w:sz w:val="20"/>
          <w:szCs w:val="20"/>
          <w:lang w:val="pl-PL"/>
        </w:rPr>
        <w:t>apytali uczestniczki o ich aktualne przemyślenia na temat zakończonych związków oraz myśli na temat przyszłości.</w:t>
      </w:r>
    </w:p>
    <w:p w14:paraId="21E8DA3C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lastRenderedPageBreak/>
        <w:t xml:space="preserve">Kobiety, które utworzyły osobistą historię, częściej wykorzystywały słowa tworzące relacje </w:t>
      </w:r>
      <w:proofErr w:type="spellStart"/>
      <w:r w:rsidRPr="0074043A">
        <w:rPr>
          <w:sz w:val="20"/>
          <w:szCs w:val="20"/>
          <w:lang w:val="pl-PL"/>
        </w:rPr>
        <w:t>przyczynowo-skutkowe</w:t>
      </w:r>
      <w:proofErr w:type="spellEnd"/>
      <w:r w:rsidRPr="0074043A">
        <w:rPr>
          <w:sz w:val="20"/>
          <w:szCs w:val="20"/>
          <w:lang w:val="pl-PL"/>
        </w:rPr>
        <w:t xml:space="preserve"> w opisach powodu rozpadu związk</w:t>
      </w:r>
      <w:r w:rsidRPr="0074043A">
        <w:rPr>
          <w:sz w:val="20"/>
          <w:szCs w:val="20"/>
          <w:lang w:val="pl-PL"/>
        </w:rPr>
        <w:t>u. Można interpretować to jako zwiększoną zdolność do porządkowania osobistych doświadczeń, która może sprzyjać konstruktywnemu radzeniu sobie z nimi. Uczestniczki narracyjne przedstawiały także dłuższe opisy myśli na temat przyszłości, i używały więcej cz</w:t>
      </w:r>
      <w:r w:rsidRPr="0074043A">
        <w:rPr>
          <w:sz w:val="20"/>
          <w:szCs w:val="20"/>
          <w:lang w:val="pl-PL"/>
        </w:rPr>
        <w:t xml:space="preserve">asowników czasu przyszłego. Na tej podstawie możemy zakładać, że ich myślenie o przyszłości było bardziej skuteczne. </w:t>
      </w:r>
    </w:p>
    <w:p w14:paraId="7D090643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 xml:space="preserve">Kolejne znaczące wyniki stwierdzono, porównując ze sobą uczestniczki, które podzieliły się osobistą historią i te, które mimo zaproszenia </w:t>
      </w:r>
      <w:r w:rsidRPr="0074043A">
        <w:rPr>
          <w:sz w:val="20"/>
          <w:szCs w:val="20"/>
          <w:lang w:val="pl-PL"/>
        </w:rPr>
        <w:t xml:space="preserve">do tej aktywności tego nie zrobiły. Uczestniczki dzielące się narracją deklarowały, że lepiej rozumieją przyczyny rozpadu związku. Tworzyły także bardziej spójne opisy przyczyn rozpadu relacji. Łatwiej było im też wybiegać myślami w przyszłość. Wśród nich </w:t>
      </w:r>
      <w:r w:rsidRPr="0074043A">
        <w:rPr>
          <w:sz w:val="20"/>
          <w:szCs w:val="20"/>
          <w:lang w:val="pl-PL"/>
        </w:rPr>
        <w:t>tylko 3,5 proc. osób deklarowało, że w ciągu ostatniego tygodnia nie miało żadnych myśli na temat przyszłości w bliskich związkach lub że było tych myśli niewiele. Natomiast osoby, które nie podzieliły się swoją historią, miały takie doświadczenie ok. czte</w:t>
      </w:r>
      <w:r w:rsidRPr="0074043A">
        <w:rPr>
          <w:sz w:val="20"/>
          <w:szCs w:val="20"/>
          <w:lang w:val="pl-PL"/>
        </w:rPr>
        <w:t xml:space="preserve">rokrotnie częściej (ok. 15 proc. grupy). </w:t>
      </w:r>
    </w:p>
    <w:p w14:paraId="5E4229B4" w14:textId="77777777" w:rsidR="00624155" w:rsidRPr="0074043A" w:rsidRDefault="00CA6A06">
      <w:pPr>
        <w:spacing w:before="240" w:after="240" w:line="300" w:lineRule="auto"/>
        <w:rPr>
          <w:b/>
          <w:bCs/>
          <w:sz w:val="20"/>
          <w:szCs w:val="20"/>
          <w:lang w:val="pl-PL"/>
        </w:rPr>
      </w:pPr>
      <w:r w:rsidRPr="0074043A">
        <w:rPr>
          <w:b/>
          <w:bCs/>
          <w:sz w:val="20"/>
          <w:szCs w:val="20"/>
          <w:lang w:val="pl-PL"/>
        </w:rPr>
        <w:t>Zamknąć przeszłość i iść dalej</w:t>
      </w:r>
    </w:p>
    <w:p w14:paraId="2B46D7DA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Wnioski z badania świadczą o tym, że ułożenie bolesnych wspomnień w ramy klasycznej opowieści – obejmującej bohaterów, ich motywacje i przeszkody, z jakimi się mierzą na drodze do ich</w:t>
      </w:r>
      <w:r w:rsidRPr="0074043A">
        <w:rPr>
          <w:sz w:val="20"/>
          <w:szCs w:val="20"/>
          <w:lang w:val="pl-PL"/>
        </w:rPr>
        <w:t xml:space="preserve"> realizacji  – prowadzące do uruchomienia w nas myślenia o byłej relacji jako historii działa jak potężne narzędzie poznawcze. Pomaga uporządkować trudne doświadczenia i sprzyja wybieganiu myślami w przyszłość. </w:t>
      </w:r>
    </w:p>
    <w:p w14:paraId="57D38A87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Okres wchodzącej dorosłości (18-29 lat) to c</w:t>
      </w:r>
      <w:r w:rsidRPr="0074043A">
        <w:rPr>
          <w:sz w:val="20"/>
          <w:szCs w:val="20"/>
          <w:lang w:val="pl-PL"/>
        </w:rPr>
        <w:t>zas na naukę budowania trwałych relacji i formowania własnej tożsamości. Rozstania są w tym wieku nieuniknione, ale ich psychologiczny koszt bywa ogromny – od lęku i obniżonego nastroju aż po poważne kryzysy psychiczne. Prace psychologów z Uniwersytetu SWP</w:t>
      </w:r>
      <w:r w:rsidRPr="0074043A">
        <w:rPr>
          <w:sz w:val="20"/>
          <w:szCs w:val="20"/>
          <w:lang w:val="pl-PL"/>
        </w:rPr>
        <w:t>S dowodzą jednak, że dysponujemy prostym, dostępnym dla każdego narzędziem samopomocy. Należy podkreślić, że konsekwencje zaangażowania się w myślenie o osobistej historii mogą być różne u różnych osób. A w przypadku znaczącego kryzysu warto otworzyć się n</w:t>
      </w:r>
      <w:r w:rsidRPr="0074043A">
        <w:rPr>
          <w:sz w:val="20"/>
          <w:szCs w:val="20"/>
          <w:lang w:val="pl-PL"/>
        </w:rPr>
        <w:t xml:space="preserve">a profesjonalne wsparcie. </w:t>
      </w:r>
    </w:p>
    <w:p w14:paraId="6976500E" w14:textId="77777777" w:rsidR="00624155" w:rsidRPr="0074043A" w:rsidRDefault="00CA6A06">
      <w:pPr>
        <w:spacing w:before="240" w:after="240" w:line="300" w:lineRule="auto"/>
        <w:rPr>
          <w:b/>
          <w:bCs/>
          <w:sz w:val="20"/>
          <w:szCs w:val="20"/>
          <w:highlight w:val="yellow"/>
          <w:lang w:val="pl-PL"/>
        </w:rPr>
      </w:pPr>
      <w:r w:rsidRPr="0074043A">
        <w:rPr>
          <w:b/>
          <w:bCs/>
          <w:sz w:val="20"/>
          <w:szCs w:val="20"/>
          <w:lang w:val="pl-PL"/>
        </w:rPr>
        <w:lastRenderedPageBreak/>
        <w:t xml:space="preserve">Jak pisać historię, aby było to pomocne? </w:t>
      </w:r>
    </w:p>
    <w:p w14:paraId="7AEA2251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– Każda osoba, która chce spróbować pomóc sobie przez napisanie osobistej historii, powinna wiedzieć, że to działanie nie gwarantuje poprawy dobrostanu. Wiele osób może doświadczyć trudny</w:t>
      </w:r>
      <w:r w:rsidRPr="0074043A">
        <w:rPr>
          <w:sz w:val="20"/>
          <w:szCs w:val="20"/>
          <w:lang w:val="pl-PL"/>
        </w:rPr>
        <w:t>ch emocji w czasie jej tworzenia, co wynika ze znaczenia opisywanych doświadczeń. Inne mogą odczuć bardziej długofalowe negatywne konsekwencje zaangażowania się w tę aktywność. Jednocześnie, stwierdzone przez nasz zespół wyniki sugerują dużą wartość opisan</w:t>
      </w:r>
      <w:r w:rsidRPr="0074043A">
        <w:rPr>
          <w:sz w:val="20"/>
          <w:szCs w:val="20"/>
          <w:lang w:val="pl-PL"/>
        </w:rPr>
        <w:t xml:space="preserve">ia historii byłego związku – podkreśla Jolanta Czarnecka. </w:t>
      </w:r>
    </w:p>
    <w:p w14:paraId="03337996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 xml:space="preserve">Jak zaczerpnąć z tego działania jak najwięcej? Psycholożka zachęca: </w:t>
      </w:r>
    </w:p>
    <w:p w14:paraId="68CC2237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1. Znajdź spokojny czas i bezpieczną przestrzeń, gdzie będziesz mogła/mógł pobyć ze swoimi myślami i emocjami.</w:t>
      </w:r>
    </w:p>
    <w:p w14:paraId="7A49970F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2. Postaraj się s</w:t>
      </w:r>
      <w:r w:rsidRPr="0074043A">
        <w:rPr>
          <w:sz w:val="20"/>
          <w:szCs w:val="20"/>
          <w:lang w:val="pl-PL"/>
        </w:rPr>
        <w:t>pisywać historię, nie tylko o niej myśleć. Pisanie pomoże Ci uporządkować myśli.</w:t>
      </w:r>
    </w:p>
    <w:p w14:paraId="74350DB0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3. Obejmij uwagą całą historię związku: od jego początku do końca.</w:t>
      </w:r>
    </w:p>
    <w:p w14:paraId="325B00DD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4. Daj sobie wolność działania: pisz to, co myślisz i tak jak umiesz. Jeśli nie rozumiesz jakiś zdarzeń, napisz to wprost. To normalne i naturalne. Czasem dopiero po czasie widzimy sens pewnych wydarzeń, a czasem nie znajdujemy go nigdy. Uczymy się natomia</w:t>
      </w:r>
      <w:r w:rsidRPr="0074043A">
        <w:rPr>
          <w:sz w:val="20"/>
          <w:szCs w:val="20"/>
          <w:lang w:val="pl-PL"/>
        </w:rPr>
        <w:t>st żyć z akceptacją niepewności.</w:t>
      </w:r>
    </w:p>
    <w:p w14:paraId="683CF5B9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5. Przede wszystkim pamiętaj, że Twoja historia trwa. Jeśli nachodzą Cię myśli, że Twoje życie jest skończone i nie wiesz, jak masz sobie poradzić – szukaj wsparcia. Historie są po to, aby się nimi dzielić, a przeszkolony p</w:t>
      </w:r>
      <w:r w:rsidRPr="0074043A">
        <w:rPr>
          <w:sz w:val="20"/>
          <w:szCs w:val="20"/>
          <w:lang w:val="pl-PL"/>
        </w:rPr>
        <w:t>sycholog lub psychiatra pomoże Ci na nowo poczuć nadzieję i cieszyć się z bycia autorką/autorem swojego życia.</w:t>
      </w:r>
    </w:p>
    <w:p w14:paraId="05ABB970" w14:textId="77777777" w:rsidR="00624155" w:rsidRPr="0074043A" w:rsidRDefault="00CA6A06">
      <w:pPr>
        <w:spacing w:before="240" w:after="240" w:line="300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Artykuł pt. „</w:t>
      </w:r>
      <w:hyperlink r:id="rId7"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The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effects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of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narrative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framing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of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own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broken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love on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understanding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the past and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imagining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the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future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in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close</w:t>
        </w:r>
        <w:proofErr w:type="spellEnd"/>
        <w:r w:rsidRPr="0074043A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74043A">
          <w:rPr>
            <w:color w:val="1155CC"/>
            <w:sz w:val="20"/>
            <w:szCs w:val="20"/>
            <w:u w:val="single"/>
            <w:lang w:val="pl-PL"/>
          </w:rPr>
          <w:t>relationships</w:t>
        </w:r>
        <w:proofErr w:type="spellEnd"/>
      </w:hyperlink>
      <w:r w:rsidRPr="0074043A">
        <w:rPr>
          <w:sz w:val="20"/>
          <w:szCs w:val="20"/>
          <w:lang w:val="pl-PL"/>
        </w:rPr>
        <w:t xml:space="preserve">” autorstwa Jolanty Zuzanny Czarneckiej </w:t>
      </w:r>
      <w:r w:rsidRPr="0074043A">
        <w:rPr>
          <w:sz w:val="20"/>
          <w:szCs w:val="20"/>
          <w:lang w:val="pl-PL"/>
        </w:rPr>
        <w:t xml:space="preserve">i Jerzego Trzebińskiego został opublikowany w prestiżowym </w:t>
      </w:r>
      <w:r w:rsidRPr="0074043A">
        <w:rPr>
          <w:sz w:val="20"/>
          <w:szCs w:val="20"/>
          <w:lang w:val="pl-PL"/>
        </w:rPr>
        <w:lastRenderedPageBreak/>
        <w:t>czasopiśmie naukowym „PLOS One”. Badanie zostało sfinansowane z grantu Instytutu Psychologii Uniwersytetu SWPS ze środków Ministerstwa Nauki i Szkolnictwa Wyższego.</w:t>
      </w:r>
    </w:p>
    <w:p w14:paraId="27F5C180" w14:textId="77777777" w:rsidR="00624155" w:rsidRPr="0074043A" w:rsidRDefault="00CA6A06">
      <w:pPr>
        <w:spacing w:before="240" w:after="240" w:line="300" w:lineRule="auto"/>
        <w:rPr>
          <w:rFonts w:ascii="Arial" w:eastAsia="Arial" w:hAnsi="Arial" w:cs="Arial"/>
          <w:b/>
          <w:bCs/>
          <w:lang w:val="pl-PL"/>
        </w:rPr>
      </w:pPr>
      <w:r w:rsidRPr="0074043A">
        <w:rPr>
          <w:rFonts w:ascii="Arial" w:eastAsia="Arial" w:hAnsi="Arial" w:cs="Arial"/>
          <w:b/>
          <w:bCs/>
          <w:lang w:val="pl-PL"/>
        </w:rPr>
        <w:t>****</w:t>
      </w:r>
    </w:p>
    <w:p w14:paraId="1A0D0DBD" w14:textId="77777777" w:rsidR="00624155" w:rsidRPr="0074043A" w:rsidRDefault="00624155">
      <w:pPr>
        <w:widowControl/>
        <w:spacing w:line="276" w:lineRule="auto"/>
        <w:rPr>
          <w:b/>
          <w:bCs/>
          <w:sz w:val="20"/>
          <w:szCs w:val="20"/>
          <w:lang w:val="pl-PL"/>
        </w:rPr>
      </w:pPr>
    </w:p>
    <w:p w14:paraId="01D4D505" w14:textId="77777777" w:rsidR="00624155" w:rsidRPr="0074043A" w:rsidRDefault="00CA6A06">
      <w:pPr>
        <w:widowControl/>
        <w:spacing w:line="276" w:lineRule="auto"/>
        <w:rPr>
          <w:sz w:val="20"/>
          <w:szCs w:val="20"/>
          <w:lang w:val="pl-PL"/>
        </w:rPr>
      </w:pPr>
      <w:r w:rsidRPr="0074043A">
        <w:rPr>
          <w:b/>
          <w:bCs/>
          <w:sz w:val="20"/>
          <w:szCs w:val="20"/>
          <w:lang w:val="pl-PL"/>
        </w:rPr>
        <w:t>Uniwersytet SWPS</w:t>
      </w:r>
      <w:r w:rsidRPr="0074043A">
        <w:rPr>
          <w:sz w:val="20"/>
          <w:szCs w:val="20"/>
          <w:lang w:val="pl-PL"/>
        </w:rPr>
        <w:t xml:space="preserve"> to nowocze</w:t>
      </w:r>
      <w:r w:rsidRPr="0074043A">
        <w:rPr>
          <w:sz w:val="20"/>
          <w:szCs w:val="20"/>
          <w:lang w:val="pl-PL"/>
        </w:rPr>
        <w:t>sna uczelnia oparta na trwałych wartościach. Silną pozycję zawdzięcza połączeniu wysokiej jakości dydaktyki z badaniami naukowymi prowadzonymi na najwyższym poziomie. Uczelnia kształci blisko 18 tys. studentek i studentów – w tym ponad tysiąc z zagranicy o</w:t>
      </w:r>
      <w:r w:rsidRPr="0074043A">
        <w:rPr>
          <w:sz w:val="20"/>
          <w:szCs w:val="20"/>
          <w:lang w:val="pl-PL"/>
        </w:rPr>
        <w:t>raz ponad 4,5 tys. słuchaczek i słuchaczy studiów podyplomowych na ponad 50 kierunkach studiów stacjonarnych i ponad 40 niestacjonarnych i ok. 240 kierunkach studiów podyplomowych. Uniwersytet oferuje programy studiów z psychologii, prawa, zarządzania, dzi</w:t>
      </w:r>
      <w:r w:rsidRPr="0074043A">
        <w:rPr>
          <w:sz w:val="20"/>
          <w:szCs w:val="20"/>
          <w:lang w:val="pl-PL"/>
        </w:rPr>
        <w:t>ennikarstwa, filologii, kulturoznawstwa, nowych technologii oraz grafiki i wzornictwa, a także edukację w postaci szkoleń i krótkich kursów akademickich. Uczelnia dba o wysoką wartość akademicką naszych programów oraz ich dostosowanie do wymagań zmieniając</w:t>
      </w:r>
      <w:r w:rsidRPr="0074043A">
        <w:rPr>
          <w:sz w:val="20"/>
          <w:szCs w:val="20"/>
          <w:lang w:val="pl-PL"/>
        </w:rPr>
        <w:t>ego się rynku pracy. Kampusy Uniwersytetu SWPS znajdują się w sześciu miastach: Warszawie (siedziba), Wrocławiu, Sopocie, Poznaniu, Katowicach i w Krakowie.</w:t>
      </w:r>
    </w:p>
    <w:p w14:paraId="5CFCCD9F" w14:textId="77777777" w:rsidR="00624155" w:rsidRPr="0074043A" w:rsidRDefault="00624155">
      <w:pPr>
        <w:widowControl/>
        <w:spacing w:line="276" w:lineRule="auto"/>
        <w:rPr>
          <w:sz w:val="20"/>
          <w:szCs w:val="20"/>
          <w:lang w:val="pl-PL"/>
        </w:rPr>
      </w:pPr>
    </w:p>
    <w:p w14:paraId="69693E6E" w14:textId="77777777" w:rsidR="00624155" w:rsidRPr="0074043A" w:rsidRDefault="00CA6A06">
      <w:pPr>
        <w:widowControl/>
        <w:spacing w:line="276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>Uczelnia posiada uprawnienia do nadawania stopnia doktora oraz doktora habilitowanego w siedmiu dy</w:t>
      </w:r>
      <w:r w:rsidRPr="0074043A">
        <w:rPr>
          <w:sz w:val="20"/>
          <w:szCs w:val="20"/>
          <w:lang w:val="pl-PL"/>
        </w:rPr>
        <w:t>scyplinach: psychologia, nauki o kulturze i religii, literaturoznawstwo, nauki prawne, nauki socjologiczne, nauki o polityce i administracji, sztuki plastyczne i konserwacja dzieł sztuki. Na Uniwersytecie SWPS funkcjonuje pięć instytutów naukowych, które z</w:t>
      </w:r>
      <w:r w:rsidRPr="0074043A">
        <w:rPr>
          <w:sz w:val="20"/>
          <w:szCs w:val="20"/>
          <w:lang w:val="pl-PL"/>
        </w:rPr>
        <w:t>ajmują się organizacją i koordynacją działalności naukowej pracowników badawczych i badawczo-dydaktycznych uczelni w poszczególnych dyscyplinach: Instytut Psychologii, Instytut Nauk Humanistycznych, Instytut Nauk Społecznych, Instytut Prawa oraz Instytut P</w:t>
      </w:r>
      <w:r w:rsidRPr="0074043A">
        <w:rPr>
          <w:sz w:val="20"/>
          <w:szCs w:val="20"/>
          <w:lang w:val="pl-PL"/>
        </w:rPr>
        <w:t>rojektowania. W uczelni działa blisko 30 centrów badawczych oraz ponad 175 kół naukowych.</w:t>
      </w:r>
    </w:p>
    <w:p w14:paraId="058CE180" w14:textId="77777777" w:rsidR="00624155" w:rsidRPr="0074043A" w:rsidRDefault="00624155">
      <w:pPr>
        <w:widowControl/>
        <w:spacing w:line="276" w:lineRule="auto"/>
        <w:rPr>
          <w:sz w:val="20"/>
          <w:szCs w:val="20"/>
          <w:lang w:val="pl-PL"/>
        </w:rPr>
      </w:pPr>
    </w:p>
    <w:p w14:paraId="08B38F52" w14:textId="77777777" w:rsidR="00624155" w:rsidRPr="0074043A" w:rsidRDefault="00CA6A06">
      <w:pPr>
        <w:widowControl/>
        <w:spacing w:line="276" w:lineRule="auto"/>
        <w:rPr>
          <w:sz w:val="20"/>
          <w:szCs w:val="20"/>
          <w:lang w:val="pl-PL"/>
        </w:rPr>
      </w:pPr>
      <w:r w:rsidRPr="0074043A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74043A">
        <w:rPr>
          <w:sz w:val="20"/>
          <w:szCs w:val="20"/>
          <w:lang w:val="pl-PL"/>
        </w:rPr>
        <w:t>European</w:t>
      </w:r>
      <w:proofErr w:type="spellEnd"/>
      <w:r w:rsidRPr="0074043A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</w:t>
      </w:r>
      <w:r w:rsidRPr="0074043A">
        <w:rPr>
          <w:sz w:val="20"/>
          <w:szCs w:val="20"/>
          <w:lang w:val="pl-PL"/>
        </w:rPr>
        <w:t>ej i finansowanej przez Komisję Europejską.</w:t>
      </w:r>
    </w:p>
    <w:sectPr w:rsidR="00624155" w:rsidRPr="0074043A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A49667" w14:textId="77777777" w:rsidR="00CA6A06" w:rsidRDefault="00CA6A06">
      <w:r>
        <w:separator/>
      </w:r>
    </w:p>
  </w:endnote>
  <w:endnote w:type="continuationSeparator" w:id="0">
    <w:p w14:paraId="0E5CB801" w14:textId="77777777" w:rsidR="00CA6A06" w:rsidRDefault="00CA6A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1BA4686C-C036-44FB-88FC-1B3008B0031C}"/>
    <w:embedBold r:id="rId2" w:fontKey="{AE8F1877-17F8-4CF3-93FD-52AF9199941D}"/>
    <w:embedItalic r:id="rId3" w:fontKey="{5F873BF6-330D-445D-B782-541C71EA5C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0F7DA671-5BDF-4C3D-B4D4-6EC8D1F53F4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AEDC0C0D-D080-4148-90F2-C66AA777EA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052AD1D4-C7D3-4F96-84B4-65ED9716685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9B8C1ED1-E706-4832-8179-D0E7497CB0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32CA84" w14:textId="77777777" w:rsidR="00624155" w:rsidRDefault="00CA6A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6FF46A10" wp14:editId="0E95D07E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05F705" w14:textId="77777777" w:rsidR="00624155" w:rsidRDefault="00CA6A06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3EE24AEA" w14:textId="77777777" w:rsidR="00624155" w:rsidRDefault="00CA6A06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246C1BCF" wp14:editId="6273AA37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F9F46FF" w14:textId="77777777" w:rsidR="00624155" w:rsidRDefault="00CA6A06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2D971A" w14:textId="77777777" w:rsidR="00CA6A06" w:rsidRDefault="00CA6A06">
      <w:r>
        <w:separator/>
      </w:r>
    </w:p>
  </w:footnote>
  <w:footnote w:type="continuationSeparator" w:id="0">
    <w:p w14:paraId="58E1FECB" w14:textId="77777777" w:rsidR="00CA6A06" w:rsidRDefault="00CA6A06">
      <w:r>
        <w:continuationSeparator/>
      </w:r>
    </w:p>
  </w:footnote>
  <w:footnote w:id="1">
    <w:p w14:paraId="1D947C4E" w14:textId="77777777" w:rsidR="00624155" w:rsidRDefault="00CA6A06">
      <w:pPr>
        <w:rPr>
          <w:sz w:val="16"/>
          <w:szCs w:val="16"/>
          <w:highlight w:val="yellow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6"/>
          <w:szCs w:val="16"/>
        </w:rPr>
        <w:t>Vanaken</w:t>
      </w:r>
      <w:proofErr w:type="spellEnd"/>
      <w:r>
        <w:rPr>
          <w:sz w:val="16"/>
          <w:szCs w:val="16"/>
        </w:rPr>
        <w:t xml:space="preserve">, L., Waters, T. E. A., </w:t>
      </w:r>
      <w:proofErr w:type="spellStart"/>
      <w:r>
        <w:rPr>
          <w:sz w:val="16"/>
          <w:szCs w:val="16"/>
        </w:rPr>
        <w:t>Boddez</w:t>
      </w:r>
      <w:proofErr w:type="spellEnd"/>
      <w:r>
        <w:rPr>
          <w:sz w:val="16"/>
          <w:szCs w:val="16"/>
        </w:rPr>
        <w:t xml:space="preserve">, Y., </w:t>
      </w:r>
      <w:proofErr w:type="spellStart"/>
      <w:r>
        <w:rPr>
          <w:sz w:val="16"/>
          <w:szCs w:val="16"/>
        </w:rPr>
        <w:t>Bijttebier</w:t>
      </w:r>
      <w:proofErr w:type="spellEnd"/>
      <w:r>
        <w:rPr>
          <w:sz w:val="16"/>
          <w:szCs w:val="16"/>
        </w:rPr>
        <w:t xml:space="preserve">, P., </w:t>
      </w:r>
      <w:proofErr w:type="spellStart"/>
      <w:r>
        <w:rPr>
          <w:sz w:val="16"/>
          <w:szCs w:val="16"/>
        </w:rPr>
        <w:t>Hermans</w:t>
      </w:r>
      <w:proofErr w:type="spellEnd"/>
      <w:r>
        <w:rPr>
          <w:sz w:val="16"/>
          <w:szCs w:val="16"/>
        </w:rPr>
        <w:t xml:space="preserve">, D. (2022). Reconciling a phenomenological with a functional approach to memory: narrative coherence and its social function. </w:t>
      </w:r>
      <w:r>
        <w:rPr>
          <w:i/>
          <w:iCs/>
          <w:sz w:val="16"/>
          <w:szCs w:val="16"/>
        </w:rPr>
        <w:t>Memory</w:t>
      </w:r>
      <w:r>
        <w:rPr>
          <w:sz w:val="16"/>
          <w:szCs w:val="16"/>
        </w:rPr>
        <w:t xml:space="preserve">, </w:t>
      </w:r>
      <w:r>
        <w:rPr>
          <w:i/>
          <w:iCs/>
          <w:sz w:val="16"/>
          <w:szCs w:val="16"/>
        </w:rPr>
        <w:t>30</w:t>
      </w:r>
      <w:r>
        <w:rPr>
          <w:sz w:val="16"/>
          <w:szCs w:val="16"/>
        </w:rPr>
        <w:t xml:space="preserve">(3), 354–368. </w:t>
      </w:r>
      <w:hyperlink r:id="rId1">
        <w:r>
          <w:rPr>
            <w:color w:val="1155CC"/>
            <w:sz w:val="16"/>
            <w:szCs w:val="16"/>
            <w:u w:val="single"/>
          </w:rPr>
          <w:t>https://doi.org/10.1080/09658211.2021.2009877</w:t>
        </w:r>
      </w:hyperlink>
      <w:r>
        <w:rPr>
          <w:sz w:val="16"/>
          <w:szCs w:val="16"/>
        </w:rPr>
        <w:t xml:space="preserve"> </w:t>
      </w:r>
    </w:p>
  </w:footnote>
  <w:footnote w:id="2">
    <w:p w14:paraId="64717774" w14:textId="77777777" w:rsidR="00624155" w:rsidRPr="0074043A" w:rsidRDefault="00CA6A06">
      <w:pPr>
        <w:rPr>
          <w:sz w:val="20"/>
          <w:szCs w:val="20"/>
          <w:lang w:val="pl-PL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Fisher, W. R. (1984). Narration as a human communication paradigm: The case of public moral argument. </w:t>
      </w:r>
      <w:r w:rsidRPr="0074043A">
        <w:rPr>
          <w:i/>
          <w:iCs/>
          <w:sz w:val="16"/>
          <w:szCs w:val="16"/>
          <w:lang w:val="pl-PL"/>
        </w:rPr>
        <w:t>Communication Monographs</w:t>
      </w:r>
      <w:r w:rsidRPr="0074043A">
        <w:rPr>
          <w:sz w:val="16"/>
          <w:szCs w:val="16"/>
          <w:lang w:val="pl-PL"/>
        </w:rPr>
        <w:t xml:space="preserve">, </w:t>
      </w:r>
      <w:r w:rsidRPr="0074043A">
        <w:rPr>
          <w:i/>
          <w:iCs/>
          <w:sz w:val="16"/>
          <w:szCs w:val="16"/>
          <w:lang w:val="pl-PL"/>
        </w:rPr>
        <w:t>51</w:t>
      </w:r>
      <w:r w:rsidRPr="0074043A">
        <w:rPr>
          <w:sz w:val="16"/>
          <w:szCs w:val="16"/>
          <w:lang w:val="pl-PL"/>
        </w:rPr>
        <w:t>(1), 1–22. https://doi.org/10.1080/0363775840939018</w:t>
      </w:r>
      <w:r w:rsidRPr="0074043A">
        <w:rPr>
          <w:sz w:val="16"/>
          <w:szCs w:val="16"/>
          <w:lang w:val="pl-PL"/>
        </w:rPr>
        <w:t>0</w:t>
      </w:r>
    </w:p>
  </w:footnote>
  <w:footnote w:id="3">
    <w:p w14:paraId="7000830A" w14:textId="77777777" w:rsidR="00624155" w:rsidRDefault="00CA6A06">
      <w:pPr>
        <w:rPr>
          <w:sz w:val="16"/>
          <w:szCs w:val="16"/>
        </w:rPr>
      </w:pPr>
      <w:r>
        <w:rPr>
          <w:vertAlign w:val="superscript"/>
        </w:rPr>
        <w:footnoteRef/>
      </w:r>
      <w:r w:rsidRPr="0074043A">
        <w:rPr>
          <w:sz w:val="16"/>
          <w:szCs w:val="16"/>
          <w:lang w:val="pl-PL"/>
        </w:rPr>
        <w:t xml:space="preserve"> Trzebiński, J. (red.). (2002). </w:t>
      </w:r>
      <w:r w:rsidRPr="0074043A">
        <w:rPr>
          <w:i/>
          <w:iCs/>
          <w:sz w:val="16"/>
          <w:szCs w:val="16"/>
          <w:lang w:val="pl-PL"/>
        </w:rPr>
        <w:t>Narracja jako sposób rozumienia świata</w:t>
      </w:r>
      <w:r w:rsidRPr="0074043A">
        <w:rPr>
          <w:sz w:val="16"/>
          <w:szCs w:val="16"/>
          <w:lang w:val="pl-PL"/>
        </w:rPr>
        <w:t xml:space="preserve">. </w:t>
      </w:r>
      <w:proofErr w:type="spellStart"/>
      <w:r>
        <w:rPr>
          <w:sz w:val="16"/>
          <w:szCs w:val="16"/>
        </w:rPr>
        <w:t>Gdańskie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Wydawnictwo</w:t>
      </w:r>
      <w:proofErr w:type="spellEnd"/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Psychologiczne</w:t>
      </w:r>
      <w:proofErr w:type="spellEnd"/>
      <w:r>
        <w:rPr>
          <w:sz w:val="16"/>
          <w:szCs w:val="16"/>
        </w:rPr>
        <w:t>.</w:t>
      </w:r>
      <w:r>
        <w:rPr>
          <w:sz w:val="20"/>
          <w:szCs w:val="20"/>
        </w:rPr>
        <w:t xml:space="preserve"> </w:t>
      </w:r>
    </w:p>
    <w:p w14:paraId="5EB01808" w14:textId="77777777" w:rsidR="00624155" w:rsidRDefault="00624155">
      <w:pPr>
        <w:rPr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037564" w14:textId="77777777" w:rsidR="00624155" w:rsidRDefault="00CA6A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B2800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3E182D" w14:textId="77777777" w:rsidR="00624155" w:rsidRDefault="00CA6A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08BA4E44" wp14:editId="6E59393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6997D6" w14:textId="77777777" w:rsidR="00624155" w:rsidRDefault="00CA6A0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0A55EDE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4155"/>
    <w:rsid w:val="00624155"/>
    <w:rsid w:val="0074043A"/>
    <w:rsid w:val="00CA6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0F743893"/>
  <w15:docId w15:val="{46D4D3B3-6874-4387-A3FE-A1659B7F5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journals.plos.org/plosone/article?id=10.1371/journal.pone.0334973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doi.org/10.1080/09658211.2021.2009877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iOTSmT4uDeyPaYR09lzWCFEyrA==">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1372</Words>
  <Characters>8237</Characters>
  <Application>Microsoft Office Word</Application>
  <DocSecurity>0</DocSecurity>
  <Lines>68</Lines>
  <Paragraphs>19</Paragraphs>
  <ScaleCrop>false</ScaleCrop>
  <Company>Uniwersytet SWPS</Company>
  <LinksUpToDate>false</LinksUpToDate>
  <CharactersWithSpaces>9590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2026-05-26T07:12:00Z</dcterms:created>
  <dcterms:modified xsi:type="dcterms:W3CDTF">2026-05-26T07:13:00Z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